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55" w:rsidRPr="00B53855" w:rsidRDefault="00B53855" w:rsidP="00B53855">
      <w:pPr>
        <w:tabs>
          <w:tab w:val="clear" w:pos="357"/>
          <w:tab w:val="left" w:pos="2685"/>
        </w:tabs>
        <w:jc w:val="center"/>
        <w:rPr>
          <w:rFonts w:asciiTheme="majorHAnsi" w:hAnsiTheme="majorHAnsi"/>
          <w:sz w:val="24"/>
          <w:szCs w:val="24"/>
        </w:rPr>
      </w:pPr>
    </w:p>
    <w:tbl>
      <w:tblPr>
        <w:tblStyle w:val="Grilledutableau"/>
        <w:tblW w:w="0" w:type="auto"/>
        <w:jc w:val="center"/>
        <w:tblBorders>
          <w:left w:val="none" w:sz="0" w:space="0" w:color="auto"/>
          <w:right w:val="none" w:sz="0" w:space="0" w:color="auto"/>
        </w:tblBorders>
        <w:tblLook w:val="04A0" w:firstRow="1" w:lastRow="0" w:firstColumn="1" w:lastColumn="0" w:noHBand="0" w:noVBand="1"/>
      </w:tblPr>
      <w:tblGrid>
        <w:gridCol w:w="5499"/>
      </w:tblGrid>
      <w:tr w:rsidR="00AF6B57" w:rsidTr="00AF6B57">
        <w:trPr>
          <w:jc w:val="center"/>
        </w:trPr>
        <w:tc>
          <w:tcPr>
            <w:tcW w:w="0" w:type="auto"/>
          </w:tcPr>
          <w:p w:rsidR="00AF6B57" w:rsidRPr="00B53855" w:rsidRDefault="00B53855" w:rsidP="00B53855">
            <w:pPr>
              <w:tabs>
                <w:tab w:val="clear" w:pos="357"/>
                <w:tab w:val="left" w:pos="2685"/>
              </w:tabs>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AF6B57" w:rsidRDefault="00AF6B57" w:rsidP="00B53855">
            <w:pPr>
              <w:tabs>
                <w:tab w:val="clear" w:pos="357"/>
                <w:tab w:val="left" w:pos="2685"/>
              </w:tabs>
              <w:jc w:val="center"/>
              <w:rPr>
                <w:rFonts w:asciiTheme="majorHAnsi" w:hAnsiTheme="majorHAnsi"/>
                <w:sz w:val="28"/>
                <w:szCs w:val="24"/>
              </w:rPr>
            </w:pPr>
            <w:r>
              <w:rPr>
                <w:rFonts w:asciiTheme="majorHAnsi" w:hAnsiTheme="majorHAnsi"/>
                <w:sz w:val="28"/>
                <w:szCs w:val="24"/>
              </w:rPr>
              <w:t>Déclaration</w:t>
            </w:r>
          </w:p>
          <w:p w:rsidR="00AF6B57" w:rsidRPr="00B53855" w:rsidRDefault="00AF6B57" w:rsidP="00B53855">
            <w:pPr>
              <w:tabs>
                <w:tab w:val="clear" w:pos="357"/>
                <w:tab w:val="left" w:pos="2685"/>
              </w:tabs>
              <w:jc w:val="center"/>
              <w:rPr>
                <w:rFonts w:asciiTheme="majorHAnsi" w:hAnsiTheme="majorHAnsi"/>
                <w:sz w:val="24"/>
                <w:szCs w:val="24"/>
              </w:rPr>
            </w:pPr>
          </w:p>
          <w:p w:rsidR="00AF6B57" w:rsidRDefault="00C262F2" w:rsidP="00B53855">
            <w:pPr>
              <w:tabs>
                <w:tab w:val="clear" w:pos="357"/>
                <w:tab w:val="left" w:pos="2685"/>
              </w:tabs>
              <w:jc w:val="center"/>
              <w:rPr>
                <w:rFonts w:asciiTheme="majorHAnsi" w:hAnsiTheme="majorHAnsi"/>
                <w:b/>
                <w:sz w:val="28"/>
                <w:szCs w:val="24"/>
              </w:rPr>
            </w:pPr>
            <w:r>
              <w:rPr>
                <w:rFonts w:asciiTheme="majorHAnsi" w:hAnsiTheme="majorHAnsi"/>
                <w:b/>
                <w:sz w:val="28"/>
                <w:szCs w:val="24"/>
              </w:rPr>
              <w:t>Commission des comptes de la Sécurité sociale</w:t>
            </w:r>
          </w:p>
          <w:p w:rsidR="00B53855" w:rsidRPr="00B53855" w:rsidRDefault="00B53855" w:rsidP="00B53855">
            <w:pPr>
              <w:tabs>
                <w:tab w:val="clear" w:pos="357"/>
                <w:tab w:val="left" w:pos="2685"/>
              </w:tabs>
              <w:jc w:val="center"/>
              <w:rPr>
                <w:rFonts w:asciiTheme="majorHAnsi" w:hAnsiTheme="majorHAnsi"/>
                <w:b/>
                <w:sz w:val="24"/>
                <w:szCs w:val="24"/>
              </w:rPr>
            </w:pPr>
          </w:p>
          <w:p w:rsidR="00B53855" w:rsidRPr="00AF6B57" w:rsidRDefault="00C262F2" w:rsidP="00B53855">
            <w:pPr>
              <w:tabs>
                <w:tab w:val="clear" w:pos="357"/>
                <w:tab w:val="left" w:pos="2685"/>
              </w:tabs>
              <w:jc w:val="center"/>
              <w:rPr>
                <w:rFonts w:asciiTheme="majorHAnsi" w:hAnsiTheme="majorHAnsi"/>
                <w:sz w:val="28"/>
                <w:szCs w:val="24"/>
              </w:rPr>
            </w:pPr>
            <w:r>
              <w:rPr>
                <w:rFonts w:asciiTheme="majorHAnsi" w:hAnsiTheme="majorHAnsi"/>
                <w:sz w:val="28"/>
                <w:szCs w:val="24"/>
              </w:rPr>
              <w:t>Le 07 juin 2016</w:t>
            </w:r>
          </w:p>
          <w:p w:rsidR="00AF6B57" w:rsidRPr="00B53855" w:rsidRDefault="00AF6B57" w:rsidP="00B53855">
            <w:pPr>
              <w:tabs>
                <w:tab w:val="clear" w:pos="357"/>
                <w:tab w:val="left" w:pos="2685"/>
              </w:tabs>
              <w:jc w:val="center"/>
              <w:rPr>
                <w:rFonts w:asciiTheme="majorHAnsi" w:hAnsiTheme="majorHAnsi"/>
                <w:b/>
                <w:sz w:val="24"/>
                <w:szCs w:val="24"/>
              </w:rPr>
            </w:pPr>
          </w:p>
        </w:tc>
      </w:tr>
    </w:tbl>
    <w:p w:rsidR="00B53855" w:rsidRPr="00AF6B57" w:rsidRDefault="00B53855" w:rsidP="00AF6B57">
      <w:pPr>
        <w:tabs>
          <w:tab w:val="clear" w:pos="357"/>
          <w:tab w:val="left" w:pos="2685"/>
        </w:tabs>
        <w:spacing w:line="360" w:lineRule="auto"/>
        <w:ind w:firstLine="357"/>
        <w:rPr>
          <w:rFonts w:asciiTheme="majorHAnsi" w:hAnsiTheme="majorHAnsi"/>
          <w:sz w:val="24"/>
          <w:szCs w:val="24"/>
        </w:rPr>
      </w:pPr>
    </w:p>
    <w:p w:rsidR="00B53855" w:rsidRPr="00642EEB" w:rsidRDefault="00AF6B57" w:rsidP="00642EEB">
      <w:pPr>
        <w:tabs>
          <w:tab w:val="clear" w:pos="357"/>
          <w:tab w:val="left" w:pos="2685"/>
        </w:tabs>
        <w:spacing w:line="360" w:lineRule="auto"/>
        <w:rPr>
          <w:rFonts w:asciiTheme="minorHAnsi" w:hAnsiTheme="minorHAnsi"/>
          <w:sz w:val="24"/>
          <w:szCs w:val="24"/>
        </w:rPr>
      </w:pPr>
      <w:r w:rsidRPr="00642EEB">
        <w:rPr>
          <w:rFonts w:asciiTheme="minorHAnsi" w:hAnsiTheme="minorHAnsi"/>
          <w:sz w:val="24"/>
          <w:szCs w:val="24"/>
        </w:rPr>
        <w:t>Madame</w:t>
      </w:r>
      <w:r w:rsidR="00B53855" w:rsidRPr="00642EEB">
        <w:rPr>
          <w:rFonts w:asciiTheme="minorHAnsi" w:hAnsiTheme="minorHAnsi"/>
          <w:sz w:val="24"/>
          <w:szCs w:val="24"/>
        </w:rPr>
        <w:t>,</w:t>
      </w:r>
      <w:r w:rsidRPr="00642EEB">
        <w:rPr>
          <w:rFonts w:asciiTheme="minorHAnsi" w:hAnsiTheme="minorHAnsi"/>
          <w:sz w:val="24"/>
          <w:szCs w:val="24"/>
        </w:rPr>
        <w:t xml:space="preserve"> </w:t>
      </w:r>
      <w:r w:rsidR="00B53855" w:rsidRPr="00642EEB">
        <w:rPr>
          <w:rFonts w:asciiTheme="minorHAnsi" w:hAnsiTheme="minorHAnsi"/>
          <w:sz w:val="24"/>
          <w:szCs w:val="24"/>
        </w:rPr>
        <w:t>Monsieur</w:t>
      </w:r>
      <w:r w:rsidR="00C262F2" w:rsidRPr="00642EEB">
        <w:rPr>
          <w:rFonts w:asciiTheme="minorHAnsi" w:hAnsiTheme="minorHAnsi"/>
          <w:sz w:val="24"/>
          <w:szCs w:val="24"/>
        </w:rPr>
        <w:t xml:space="preserve"> les Ministres,</w:t>
      </w:r>
    </w:p>
    <w:p w:rsidR="00E50E8F" w:rsidRPr="00642EEB" w:rsidRDefault="00E50E8F" w:rsidP="00642EEB">
      <w:pPr>
        <w:tabs>
          <w:tab w:val="clear" w:pos="357"/>
          <w:tab w:val="left" w:pos="2685"/>
        </w:tabs>
        <w:spacing w:line="360" w:lineRule="auto"/>
        <w:rPr>
          <w:rFonts w:asciiTheme="minorHAnsi" w:hAnsiTheme="minorHAnsi"/>
          <w:sz w:val="24"/>
          <w:szCs w:val="24"/>
        </w:rPr>
      </w:pPr>
      <w:r w:rsidRPr="00642EEB">
        <w:rPr>
          <w:rFonts w:asciiTheme="minorHAnsi" w:hAnsiTheme="minorHAnsi"/>
          <w:sz w:val="24"/>
          <w:szCs w:val="24"/>
        </w:rPr>
        <w:t>Monsieur le Député,</w:t>
      </w:r>
    </w:p>
    <w:p w:rsidR="00C262F2" w:rsidRPr="00642EEB" w:rsidRDefault="00E50E8F" w:rsidP="00642EEB">
      <w:pPr>
        <w:tabs>
          <w:tab w:val="clear" w:pos="357"/>
          <w:tab w:val="left" w:pos="2685"/>
        </w:tabs>
        <w:spacing w:line="360" w:lineRule="auto"/>
        <w:rPr>
          <w:rFonts w:asciiTheme="minorHAnsi" w:hAnsiTheme="minorHAnsi"/>
          <w:sz w:val="24"/>
          <w:szCs w:val="24"/>
        </w:rPr>
      </w:pPr>
      <w:r w:rsidRPr="00642EEB">
        <w:rPr>
          <w:rFonts w:asciiTheme="minorHAnsi" w:hAnsiTheme="minorHAnsi"/>
          <w:sz w:val="24"/>
          <w:szCs w:val="24"/>
        </w:rPr>
        <w:t>Mes</w:t>
      </w:r>
      <w:r w:rsidR="00C262F2" w:rsidRPr="00642EEB">
        <w:rPr>
          <w:rFonts w:asciiTheme="minorHAnsi" w:hAnsiTheme="minorHAnsi"/>
          <w:sz w:val="24"/>
          <w:szCs w:val="24"/>
        </w:rPr>
        <w:t>dame</w:t>
      </w:r>
      <w:r w:rsidRPr="00642EEB">
        <w:rPr>
          <w:rFonts w:asciiTheme="minorHAnsi" w:hAnsiTheme="minorHAnsi"/>
          <w:sz w:val="24"/>
          <w:szCs w:val="24"/>
        </w:rPr>
        <w:t>s</w:t>
      </w:r>
      <w:r w:rsidR="00C262F2" w:rsidRPr="00642EEB">
        <w:rPr>
          <w:rFonts w:asciiTheme="minorHAnsi" w:hAnsiTheme="minorHAnsi"/>
          <w:sz w:val="24"/>
          <w:szCs w:val="24"/>
        </w:rPr>
        <w:t>, Messieurs les Présidents,</w:t>
      </w:r>
    </w:p>
    <w:p w:rsidR="00E50E8F" w:rsidRPr="00642EEB" w:rsidRDefault="00E50E8F" w:rsidP="00642EEB">
      <w:pPr>
        <w:tabs>
          <w:tab w:val="clear" w:pos="357"/>
        </w:tabs>
        <w:spacing w:line="360" w:lineRule="auto"/>
        <w:rPr>
          <w:rFonts w:asciiTheme="minorHAnsi" w:hAnsiTheme="minorHAnsi"/>
          <w:sz w:val="24"/>
          <w:szCs w:val="24"/>
        </w:rPr>
      </w:pPr>
      <w:r w:rsidRPr="00642EEB">
        <w:rPr>
          <w:rFonts w:asciiTheme="minorHAnsi" w:hAnsiTheme="minorHAnsi"/>
          <w:sz w:val="24"/>
          <w:szCs w:val="24"/>
        </w:rPr>
        <w:t>Monsieur le Secrétaire général et Monsieur le Directeur,</w:t>
      </w:r>
    </w:p>
    <w:p w:rsidR="00E50E8F" w:rsidRDefault="00E50E8F" w:rsidP="00642EEB">
      <w:pPr>
        <w:tabs>
          <w:tab w:val="clear" w:pos="357"/>
        </w:tabs>
        <w:spacing w:line="360" w:lineRule="auto"/>
        <w:rPr>
          <w:rFonts w:asciiTheme="minorHAnsi" w:hAnsiTheme="minorHAnsi"/>
          <w:sz w:val="24"/>
          <w:szCs w:val="24"/>
        </w:rPr>
      </w:pPr>
      <w:r w:rsidRPr="00642EEB">
        <w:rPr>
          <w:rFonts w:asciiTheme="minorHAnsi" w:hAnsiTheme="minorHAnsi"/>
          <w:sz w:val="24"/>
          <w:szCs w:val="24"/>
        </w:rPr>
        <w:t>Mesdames, Messieurs,</w:t>
      </w:r>
    </w:p>
    <w:p w:rsidR="00642EEB" w:rsidRPr="00642EEB" w:rsidRDefault="00642EEB" w:rsidP="00642EEB">
      <w:pPr>
        <w:tabs>
          <w:tab w:val="clear" w:pos="357"/>
        </w:tabs>
        <w:spacing w:line="360" w:lineRule="auto"/>
        <w:rPr>
          <w:rFonts w:asciiTheme="minorHAnsi" w:hAnsiTheme="minorHAnsi"/>
          <w:sz w:val="24"/>
          <w:szCs w:val="24"/>
        </w:rPr>
      </w:pPr>
    </w:p>
    <w:p w:rsidR="003A22B2" w:rsidRPr="00642EEB" w:rsidRDefault="003A22B2" w:rsidP="00642EEB">
      <w:pPr>
        <w:tabs>
          <w:tab w:val="clear" w:pos="357"/>
        </w:tabs>
        <w:spacing w:line="360" w:lineRule="auto"/>
        <w:ind w:firstLine="357"/>
        <w:rPr>
          <w:rFonts w:asciiTheme="minorHAnsi" w:hAnsiTheme="minorHAnsi"/>
          <w:sz w:val="24"/>
          <w:szCs w:val="24"/>
        </w:rPr>
      </w:pPr>
      <w:r w:rsidRPr="00642EEB">
        <w:rPr>
          <w:rFonts w:asciiTheme="minorHAnsi" w:hAnsiTheme="minorHAnsi"/>
          <w:sz w:val="24"/>
          <w:szCs w:val="24"/>
        </w:rPr>
        <w:t xml:space="preserve">Il nous est présenté aujourd’hui les grands </w:t>
      </w:r>
      <w:r w:rsidR="00206E73" w:rsidRPr="00642EEB">
        <w:rPr>
          <w:rFonts w:asciiTheme="minorHAnsi" w:hAnsiTheme="minorHAnsi"/>
          <w:sz w:val="24"/>
          <w:szCs w:val="24"/>
        </w:rPr>
        <w:t>comptes</w:t>
      </w:r>
      <w:r w:rsidRPr="00642EEB">
        <w:rPr>
          <w:rFonts w:asciiTheme="minorHAnsi" w:hAnsiTheme="minorHAnsi"/>
          <w:sz w:val="24"/>
          <w:szCs w:val="24"/>
        </w:rPr>
        <w:t xml:space="preserve"> </w:t>
      </w:r>
      <w:r w:rsidR="00206E73" w:rsidRPr="00642EEB">
        <w:rPr>
          <w:rFonts w:asciiTheme="minorHAnsi" w:hAnsiTheme="minorHAnsi"/>
          <w:sz w:val="24"/>
          <w:szCs w:val="24"/>
        </w:rPr>
        <w:t xml:space="preserve">de </w:t>
      </w:r>
      <w:r w:rsidRPr="00642EEB">
        <w:rPr>
          <w:rFonts w:asciiTheme="minorHAnsi" w:hAnsiTheme="minorHAnsi"/>
          <w:sz w:val="24"/>
          <w:szCs w:val="24"/>
        </w:rPr>
        <w:t>la Sécurité sociale</w:t>
      </w:r>
      <w:r w:rsidR="00206E73" w:rsidRPr="00642EEB">
        <w:rPr>
          <w:rFonts w:asciiTheme="minorHAnsi" w:hAnsiTheme="minorHAnsi"/>
          <w:sz w:val="24"/>
          <w:szCs w:val="24"/>
        </w:rPr>
        <w:t xml:space="preserve"> et de certains de ses régimes, ainsi que ceux </w:t>
      </w:r>
      <w:r w:rsidRPr="00642EEB">
        <w:rPr>
          <w:rFonts w:asciiTheme="minorHAnsi" w:hAnsiTheme="minorHAnsi"/>
          <w:sz w:val="24"/>
          <w:szCs w:val="24"/>
        </w:rPr>
        <w:t>du F</w:t>
      </w:r>
      <w:r w:rsidR="00232C23" w:rsidRPr="00642EEB">
        <w:rPr>
          <w:rFonts w:asciiTheme="minorHAnsi" w:hAnsiTheme="minorHAnsi"/>
          <w:sz w:val="24"/>
          <w:szCs w:val="24"/>
        </w:rPr>
        <w:t xml:space="preserve">onds de </w:t>
      </w:r>
      <w:r w:rsidRPr="00642EEB">
        <w:rPr>
          <w:rFonts w:asciiTheme="minorHAnsi" w:hAnsiTheme="minorHAnsi"/>
          <w:sz w:val="24"/>
          <w:szCs w:val="24"/>
        </w:rPr>
        <w:t>S</w:t>
      </w:r>
      <w:r w:rsidR="00232C23" w:rsidRPr="00642EEB">
        <w:rPr>
          <w:rFonts w:asciiTheme="minorHAnsi" w:hAnsiTheme="minorHAnsi"/>
          <w:sz w:val="24"/>
          <w:szCs w:val="24"/>
        </w:rPr>
        <w:t xml:space="preserve">olidarité </w:t>
      </w:r>
      <w:r w:rsidRPr="00642EEB">
        <w:rPr>
          <w:rFonts w:asciiTheme="minorHAnsi" w:hAnsiTheme="minorHAnsi"/>
          <w:sz w:val="24"/>
          <w:szCs w:val="24"/>
        </w:rPr>
        <w:t>V</w:t>
      </w:r>
      <w:r w:rsidR="00232C23" w:rsidRPr="00642EEB">
        <w:rPr>
          <w:rFonts w:asciiTheme="minorHAnsi" w:hAnsiTheme="minorHAnsi"/>
          <w:sz w:val="24"/>
          <w:szCs w:val="24"/>
        </w:rPr>
        <w:t>ieillesse</w:t>
      </w:r>
      <w:r w:rsidR="00206E73" w:rsidRPr="00642EEB">
        <w:rPr>
          <w:rFonts w:asciiTheme="minorHAnsi" w:hAnsiTheme="minorHAnsi"/>
          <w:sz w:val="24"/>
          <w:szCs w:val="24"/>
        </w:rPr>
        <w:t>. L’amélioration des comptes est visible sur l’ensemble des régimes de la Sécurité sociale, une tendance qui devrait se poursuivre. Il pourrait donc y avoir tout lieu d’être satisfait par une telle présentation. Cependant, Force Ouvrière  ne l’est pas</w:t>
      </w:r>
      <w:r w:rsidR="00232C23" w:rsidRPr="00642EEB">
        <w:rPr>
          <w:rFonts w:asciiTheme="minorHAnsi" w:hAnsiTheme="minorHAnsi"/>
          <w:sz w:val="24"/>
          <w:szCs w:val="24"/>
        </w:rPr>
        <w:t xml:space="preserve"> complètement</w:t>
      </w:r>
      <w:r w:rsidR="00206E73" w:rsidRPr="00642EEB">
        <w:rPr>
          <w:rFonts w:asciiTheme="minorHAnsi" w:hAnsiTheme="minorHAnsi"/>
          <w:sz w:val="24"/>
          <w:szCs w:val="24"/>
        </w:rPr>
        <w:t>.</w:t>
      </w:r>
    </w:p>
    <w:p w:rsidR="00206E73" w:rsidRPr="00642EEB" w:rsidRDefault="00206E73" w:rsidP="00642EEB">
      <w:pPr>
        <w:tabs>
          <w:tab w:val="clear" w:pos="357"/>
        </w:tabs>
        <w:spacing w:line="360" w:lineRule="auto"/>
        <w:ind w:firstLine="357"/>
        <w:rPr>
          <w:rFonts w:asciiTheme="minorHAnsi" w:hAnsiTheme="minorHAnsi"/>
          <w:sz w:val="24"/>
          <w:szCs w:val="24"/>
        </w:rPr>
      </w:pPr>
    </w:p>
    <w:p w:rsidR="00206E73" w:rsidRPr="00642EEB" w:rsidRDefault="00206E73" w:rsidP="00642EEB">
      <w:pPr>
        <w:tabs>
          <w:tab w:val="clear" w:pos="357"/>
        </w:tabs>
        <w:spacing w:line="360" w:lineRule="auto"/>
        <w:ind w:firstLine="357"/>
        <w:rPr>
          <w:rFonts w:asciiTheme="minorHAnsi" w:hAnsiTheme="minorHAnsi"/>
          <w:sz w:val="24"/>
          <w:szCs w:val="24"/>
        </w:rPr>
      </w:pPr>
      <w:r w:rsidRPr="00642EEB">
        <w:rPr>
          <w:rFonts w:asciiTheme="minorHAnsi" w:hAnsiTheme="minorHAnsi"/>
          <w:sz w:val="24"/>
          <w:szCs w:val="24"/>
        </w:rPr>
        <w:t xml:space="preserve">Tout d’abord nous ne sommes toujours pas satisfaits des conditions de travail de cette Commission. C’est répété chaque année, le dialogue est apparent, et pour preuve la réforme d’ampleur de la branche Maladie du précédent PLFSS n’a même pas été présentée lors de </w:t>
      </w:r>
      <w:r w:rsidR="00642EEB" w:rsidRPr="00642EEB">
        <w:rPr>
          <w:rFonts w:asciiTheme="minorHAnsi" w:hAnsiTheme="minorHAnsi"/>
          <w:sz w:val="24"/>
          <w:szCs w:val="24"/>
        </w:rPr>
        <w:t>la</w:t>
      </w:r>
      <w:r w:rsidRPr="00642EEB">
        <w:rPr>
          <w:rFonts w:asciiTheme="minorHAnsi" w:hAnsiTheme="minorHAnsi"/>
          <w:sz w:val="24"/>
          <w:szCs w:val="24"/>
        </w:rPr>
        <w:t xml:space="preserve"> dernière réunion en septembre. Il avait pourtant été publiquement annoncé un certain 05 mai 2015 qu</w:t>
      </w:r>
      <w:r w:rsidR="001651EF" w:rsidRPr="00642EEB">
        <w:rPr>
          <w:rFonts w:asciiTheme="minorHAnsi" w:hAnsiTheme="minorHAnsi"/>
          <w:sz w:val="24"/>
          <w:szCs w:val="24"/>
        </w:rPr>
        <w:t>e serait engagée une</w:t>
      </w:r>
      <w:r w:rsidRPr="00642EEB">
        <w:rPr>
          <w:rFonts w:asciiTheme="minorHAnsi" w:hAnsiTheme="minorHAnsi"/>
          <w:sz w:val="24"/>
          <w:szCs w:val="24"/>
        </w:rPr>
        <w:t xml:space="preserve"> </w:t>
      </w:r>
      <w:r w:rsidR="001651EF" w:rsidRPr="00642EEB">
        <w:rPr>
          <w:rFonts w:asciiTheme="minorHAnsi" w:hAnsiTheme="minorHAnsi"/>
          <w:sz w:val="24"/>
          <w:szCs w:val="24"/>
        </w:rPr>
        <w:t>réflexion. Celle-ci ne s’est faite ni en ce lieu, ni au sein des instances de la Sécurité sociale. Dans les travaux de cette Commission, dans l’élaboration de la LFSS, là aussi le dialogue social n’est pas respecté, écarté, et c’est le paritarisme qui, une fois de plus, s’en trouve bafoué. Pourtant, ce même 05 mai on pouvait entendre : « </w:t>
      </w:r>
      <w:r w:rsidR="001651EF" w:rsidRPr="00642EEB">
        <w:rPr>
          <w:rFonts w:asciiTheme="minorHAnsi" w:hAnsiTheme="minorHAnsi"/>
          <w:i/>
          <w:sz w:val="24"/>
          <w:szCs w:val="24"/>
        </w:rPr>
        <w:t>la Sécurité sociale, ce n’est pas l’État, et ce n’est pas non plus les marchés</w:t>
      </w:r>
      <w:r w:rsidR="001651EF" w:rsidRPr="00642EEB">
        <w:rPr>
          <w:rFonts w:asciiTheme="minorHAnsi" w:hAnsiTheme="minorHAnsi"/>
          <w:sz w:val="24"/>
          <w:szCs w:val="24"/>
        </w:rPr>
        <w:t> ».</w:t>
      </w:r>
      <w:r w:rsidR="00642EEB" w:rsidRPr="00642EEB">
        <w:rPr>
          <w:rFonts w:asciiTheme="minorHAnsi" w:hAnsiTheme="minorHAnsi"/>
          <w:sz w:val="24"/>
          <w:szCs w:val="24"/>
        </w:rPr>
        <w:t xml:space="preserve"> Cela ne nous permet donc pas d’affiner notre analyse rapidement.</w:t>
      </w:r>
    </w:p>
    <w:p w:rsidR="001651EF" w:rsidRPr="00642EEB" w:rsidRDefault="001651EF" w:rsidP="00642EEB">
      <w:pPr>
        <w:tabs>
          <w:tab w:val="clear" w:pos="357"/>
        </w:tabs>
        <w:spacing w:line="360" w:lineRule="auto"/>
        <w:ind w:firstLine="357"/>
        <w:rPr>
          <w:rFonts w:asciiTheme="minorHAnsi" w:hAnsiTheme="minorHAnsi"/>
          <w:sz w:val="24"/>
          <w:szCs w:val="24"/>
        </w:rPr>
      </w:pPr>
    </w:p>
    <w:p w:rsidR="00206E73" w:rsidRPr="00642EEB" w:rsidRDefault="001651EF" w:rsidP="00642EEB">
      <w:pPr>
        <w:tabs>
          <w:tab w:val="clear" w:pos="357"/>
        </w:tabs>
        <w:spacing w:line="360" w:lineRule="auto"/>
        <w:ind w:firstLine="357"/>
        <w:rPr>
          <w:rFonts w:asciiTheme="minorHAnsi" w:hAnsiTheme="minorHAnsi"/>
          <w:sz w:val="24"/>
          <w:szCs w:val="24"/>
        </w:rPr>
      </w:pPr>
      <w:r w:rsidRPr="00642EEB">
        <w:rPr>
          <w:rFonts w:asciiTheme="minorHAnsi" w:hAnsiTheme="minorHAnsi"/>
          <w:sz w:val="24"/>
          <w:szCs w:val="24"/>
        </w:rPr>
        <w:t xml:space="preserve">Nous en arrivons alors à ce qui ne nous satisfait pas du tout. Au regard des comptes de la Sécurité sociale justement, des chiffres qui ne nous sont pas présentés : d’après la LFSS pour 2016, on peut y voir l’explosion des mesures d’exonération et d’exemption d’assiette de </w:t>
      </w:r>
      <w:r w:rsidRPr="00642EEB">
        <w:rPr>
          <w:rFonts w:asciiTheme="minorHAnsi" w:hAnsiTheme="minorHAnsi"/>
          <w:sz w:val="24"/>
          <w:szCs w:val="24"/>
        </w:rPr>
        <w:lastRenderedPageBreak/>
        <w:t>cotisation</w:t>
      </w:r>
      <w:r w:rsidR="00FD3184" w:rsidRPr="00642EEB">
        <w:rPr>
          <w:rFonts w:asciiTheme="minorHAnsi" w:hAnsiTheme="minorHAnsi"/>
          <w:sz w:val="24"/>
          <w:szCs w:val="24"/>
        </w:rPr>
        <w:t>, et ce, malgré la</w:t>
      </w:r>
      <w:r w:rsidR="00232C23" w:rsidRPr="00642EEB">
        <w:rPr>
          <w:rFonts w:asciiTheme="minorHAnsi" w:hAnsiTheme="minorHAnsi"/>
          <w:sz w:val="24"/>
          <w:szCs w:val="24"/>
        </w:rPr>
        <w:t xml:space="preserve"> soi-disant</w:t>
      </w:r>
      <w:r w:rsidR="00FD3184" w:rsidRPr="00642EEB">
        <w:rPr>
          <w:rFonts w:asciiTheme="minorHAnsi" w:hAnsiTheme="minorHAnsi"/>
          <w:sz w:val="24"/>
          <w:szCs w:val="24"/>
        </w:rPr>
        <w:t xml:space="preserve"> limitation par la loi du recours à ces mesures-ci. Si l’on regarde en particulier les exonérations non-compensées et les exemptions d’assiette, qui sont elles aussi non-compensées et qui plus est sous-évaluées, en 2015 d’après ces prévisions nous en sommes à </w:t>
      </w:r>
      <w:r w:rsidR="00232C23" w:rsidRPr="00642EEB">
        <w:rPr>
          <w:rFonts w:asciiTheme="minorHAnsi" w:hAnsiTheme="minorHAnsi"/>
          <w:sz w:val="24"/>
          <w:szCs w:val="24"/>
        </w:rPr>
        <w:t xml:space="preserve">plus de </w:t>
      </w:r>
      <w:r w:rsidR="00FD3184" w:rsidRPr="00642EEB">
        <w:rPr>
          <w:rFonts w:asciiTheme="minorHAnsi" w:hAnsiTheme="minorHAnsi"/>
          <w:sz w:val="24"/>
          <w:szCs w:val="24"/>
        </w:rPr>
        <w:t xml:space="preserve">10 milliards d’euros de pertes de recettes pour la Sécurité sociale. </w:t>
      </w:r>
      <w:r w:rsidR="00232C23" w:rsidRPr="00642EEB">
        <w:rPr>
          <w:rFonts w:asciiTheme="minorHAnsi" w:hAnsiTheme="minorHAnsi"/>
          <w:sz w:val="24"/>
          <w:szCs w:val="24"/>
        </w:rPr>
        <w:t>La</w:t>
      </w:r>
      <w:r w:rsidR="00FD3184" w:rsidRPr="00642EEB">
        <w:rPr>
          <w:rFonts w:asciiTheme="minorHAnsi" w:hAnsiTheme="minorHAnsi"/>
          <w:sz w:val="24"/>
          <w:szCs w:val="24"/>
        </w:rPr>
        <w:t xml:space="preserve"> leçon que nous en tirons, c’est qu’il y a aussi une étatisation financière de la Sécurité sociale</w:t>
      </w:r>
      <w:r w:rsidR="00642EEB" w:rsidRPr="00642EEB">
        <w:rPr>
          <w:rFonts w:asciiTheme="minorHAnsi" w:hAnsiTheme="minorHAnsi"/>
          <w:sz w:val="24"/>
          <w:szCs w:val="24"/>
        </w:rPr>
        <w:t xml:space="preserve"> de plus en plus marquée</w:t>
      </w:r>
      <w:r w:rsidR="00FD3184" w:rsidRPr="00642EEB">
        <w:rPr>
          <w:rFonts w:asciiTheme="minorHAnsi" w:hAnsiTheme="minorHAnsi"/>
          <w:sz w:val="24"/>
          <w:szCs w:val="24"/>
        </w:rPr>
        <w:t>.</w:t>
      </w:r>
    </w:p>
    <w:p w:rsidR="00FD3184" w:rsidRPr="00642EEB" w:rsidRDefault="00FD3184" w:rsidP="00642EEB">
      <w:pPr>
        <w:tabs>
          <w:tab w:val="clear" w:pos="357"/>
        </w:tabs>
        <w:spacing w:line="360" w:lineRule="auto"/>
        <w:ind w:firstLine="357"/>
        <w:rPr>
          <w:rFonts w:asciiTheme="minorHAnsi" w:hAnsiTheme="minorHAnsi"/>
          <w:sz w:val="24"/>
          <w:szCs w:val="24"/>
        </w:rPr>
      </w:pPr>
    </w:p>
    <w:p w:rsidR="00FD3184" w:rsidRPr="00642EEB" w:rsidRDefault="00FD3184" w:rsidP="00642EEB">
      <w:pPr>
        <w:tabs>
          <w:tab w:val="clear" w:pos="357"/>
        </w:tabs>
        <w:spacing w:line="360" w:lineRule="auto"/>
        <w:ind w:firstLine="357"/>
        <w:rPr>
          <w:rFonts w:asciiTheme="minorHAnsi" w:hAnsiTheme="minorHAnsi"/>
          <w:sz w:val="24"/>
          <w:szCs w:val="24"/>
        </w:rPr>
      </w:pPr>
      <w:r w:rsidRPr="00642EEB">
        <w:rPr>
          <w:rFonts w:asciiTheme="minorHAnsi" w:hAnsiTheme="minorHAnsi"/>
          <w:sz w:val="24"/>
          <w:szCs w:val="24"/>
        </w:rPr>
        <w:t xml:space="preserve">Dans ce qui nous est présenté, on </w:t>
      </w:r>
      <w:r w:rsidR="00232C23" w:rsidRPr="00642EEB">
        <w:rPr>
          <w:rFonts w:asciiTheme="minorHAnsi" w:hAnsiTheme="minorHAnsi"/>
          <w:sz w:val="24"/>
          <w:szCs w:val="24"/>
        </w:rPr>
        <w:t>mélange</w:t>
      </w:r>
      <w:r w:rsidRPr="00642EEB">
        <w:rPr>
          <w:rFonts w:asciiTheme="minorHAnsi" w:hAnsiTheme="minorHAnsi"/>
          <w:sz w:val="24"/>
          <w:szCs w:val="24"/>
        </w:rPr>
        <w:t xml:space="preserve"> le déficit de la Sécurité sociale avec celui du FSV. Pourtant celui-ci ne lui appartient pas, mais il continue à venir </w:t>
      </w:r>
      <w:r w:rsidR="00232C23" w:rsidRPr="00642EEB">
        <w:rPr>
          <w:rFonts w:asciiTheme="minorHAnsi" w:hAnsiTheme="minorHAnsi"/>
          <w:sz w:val="24"/>
          <w:szCs w:val="24"/>
        </w:rPr>
        <w:t>obscurcir</w:t>
      </w:r>
      <w:r w:rsidRPr="00642EEB">
        <w:rPr>
          <w:rFonts w:asciiTheme="minorHAnsi" w:hAnsiTheme="minorHAnsi"/>
          <w:sz w:val="24"/>
          <w:szCs w:val="24"/>
        </w:rPr>
        <w:t xml:space="preserve"> la présentation des comptes de la Sécurité sociale et à donner une impression de « </w:t>
      </w:r>
      <w:r w:rsidR="00642EEB" w:rsidRPr="00642EEB">
        <w:rPr>
          <w:rFonts w:asciiTheme="minorHAnsi" w:hAnsiTheme="minorHAnsi"/>
          <w:sz w:val="24"/>
          <w:szCs w:val="24"/>
        </w:rPr>
        <w:t>déficit</w:t>
      </w:r>
      <w:r w:rsidRPr="00642EEB">
        <w:rPr>
          <w:rFonts w:asciiTheme="minorHAnsi" w:hAnsiTheme="minorHAnsi"/>
          <w:sz w:val="24"/>
          <w:szCs w:val="24"/>
        </w:rPr>
        <w:t xml:space="preserve"> </w:t>
      </w:r>
      <w:r w:rsidR="00232C23" w:rsidRPr="00642EEB">
        <w:rPr>
          <w:rFonts w:asciiTheme="minorHAnsi" w:hAnsiTheme="minorHAnsi"/>
          <w:sz w:val="24"/>
          <w:szCs w:val="24"/>
        </w:rPr>
        <w:t xml:space="preserve">abyssal </w:t>
      </w:r>
      <w:r w:rsidRPr="00642EEB">
        <w:rPr>
          <w:rFonts w:asciiTheme="minorHAnsi" w:hAnsiTheme="minorHAnsi"/>
          <w:sz w:val="24"/>
          <w:szCs w:val="24"/>
        </w:rPr>
        <w:t xml:space="preserve">de la Sécu ». Puisqu’ici il nous est présenté ces comptes qui sont du champ de la protection sociale et non de la Sécurité sociale, permettez-nous de vous présenter rapidement </w:t>
      </w:r>
      <w:r w:rsidR="006E727C" w:rsidRPr="00642EEB">
        <w:rPr>
          <w:rFonts w:asciiTheme="minorHAnsi" w:hAnsiTheme="minorHAnsi"/>
          <w:sz w:val="24"/>
          <w:szCs w:val="24"/>
        </w:rPr>
        <w:t xml:space="preserve">d’autres chiffres du champ de la protection sociale, issus </w:t>
      </w:r>
      <w:r w:rsidRPr="00642EEB">
        <w:rPr>
          <w:rFonts w:asciiTheme="minorHAnsi" w:hAnsiTheme="minorHAnsi"/>
          <w:sz w:val="24"/>
          <w:szCs w:val="24"/>
        </w:rPr>
        <w:t xml:space="preserve">du fonds CMU-C : la croissance </w:t>
      </w:r>
      <w:r w:rsidR="006E727C" w:rsidRPr="00642EEB">
        <w:rPr>
          <w:rFonts w:asciiTheme="minorHAnsi" w:hAnsiTheme="minorHAnsi"/>
          <w:sz w:val="24"/>
          <w:szCs w:val="24"/>
        </w:rPr>
        <w:t>du CA direct des organismes complémentaires</w:t>
      </w:r>
      <w:r w:rsidR="00232C23" w:rsidRPr="00642EEB">
        <w:rPr>
          <w:rFonts w:asciiTheme="minorHAnsi" w:hAnsiTheme="minorHAnsi"/>
          <w:sz w:val="24"/>
          <w:szCs w:val="24"/>
        </w:rPr>
        <w:t xml:space="preserve"> d’assurance maladie</w:t>
      </w:r>
      <w:r w:rsidR="006E727C" w:rsidRPr="00642EEB">
        <w:rPr>
          <w:rFonts w:asciiTheme="minorHAnsi" w:hAnsiTheme="minorHAnsi"/>
          <w:sz w:val="24"/>
          <w:szCs w:val="24"/>
        </w:rPr>
        <w:t> : +0,66% pour les mutuelles, -2,25% pour les I</w:t>
      </w:r>
      <w:r w:rsidR="00232C23" w:rsidRPr="00642EEB">
        <w:rPr>
          <w:rFonts w:asciiTheme="minorHAnsi" w:hAnsiTheme="minorHAnsi"/>
          <w:sz w:val="24"/>
          <w:szCs w:val="24"/>
        </w:rPr>
        <w:t xml:space="preserve">nstituts de </w:t>
      </w:r>
      <w:r w:rsidR="006E727C" w:rsidRPr="00642EEB">
        <w:rPr>
          <w:rFonts w:asciiTheme="minorHAnsi" w:hAnsiTheme="minorHAnsi"/>
          <w:sz w:val="24"/>
          <w:szCs w:val="24"/>
        </w:rPr>
        <w:t>P</w:t>
      </w:r>
      <w:r w:rsidR="00232C23" w:rsidRPr="00642EEB">
        <w:rPr>
          <w:rFonts w:asciiTheme="minorHAnsi" w:hAnsiTheme="minorHAnsi"/>
          <w:sz w:val="24"/>
          <w:szCs w:val="24"/>
        </w:rPr>
        <w:t>révoyance</w:t>
      </w:r>
      <w:r w:rsidR="006E727C" w:rsidRPr="00642EEB">
        <w:rPr>
          <w:rFonts w:asciiTheme="minorHAnsi" w:hAnsiTheme="minorHAnsi"/>
          <w:sz w:val="24"/>
          <w:szCs w:val="24"/>
        </w:rPr>
        <w:t xml:space="preserve"> et +4,89% pour les sociétés d’assurance du privé lucratif. Une tendance qui se dessinait et qui s’amplifie désormais avec le recul des IP : ainsi d’un côté l’étatisation, de l’autre la privatisation.</w:t>
      </w:r>
    </w:p>
    <w:p w:rsidR="006E727C" w:rsidRPr="00642EEB" w:rsidRDefault="006E727C" w:rsidP="00642EEB">
      <w:pPr>
        <w:tabs>
          <w:tab w:val="clear" w:pos="357"/>
        </w:tabs>
        <w:spacing w:line="360" w:lineRule="auto"/>
        <w:ind w:firstLine="357"/>
        <w:rPr>
          <w:rFonts w:asciiTheme="minorHAnsi" w:hAnsiTheme="minorHAnsi"/>
          <w:sz w:val="24"/>
          <w:szCs w:val="24"/>
        </w:rPr>
      </w:pPr>
    </w:p>
    <w:p w:rsidR="006E727C" w:rsidRPr="00642EEB" w:rsidRDefault="00642EEB" w:rsidP="00642EEB">
      <w:pPr>
        <w:tabs>
          <w:tab w:val="clear" w:pos="357"/>
        </w:tabs>
        <w:spacing w:line="360" w:lineRule="auto"/>
        <w:ind w:firstLine="357"/>
        <w:rPr>
          <w:rFonts w:asciiTheme="minorHAnsi" w:hAnsiTheme="minorHAnsi"/>
          <w:sz w:val="24"/>
          <w:szCs w:val="24"/>
        </w:rPr>
      </w:pPr>
      <w:r w:rsidRPr="00642EEB">
        <w:rPr>
          <w:rFonts w:asciiTheme="minorHAnsi" w:hAnsiTheme="minorHAnsi"/>
          <w:sz w:val="24"/>
          <w:szCs w:val="24"/>
        </w:rPr>
        <w:t>Alors Force Ouvrière n</w:t>
      </w:r>
      <w:r w:rsidR="006E727C" w:rsidRPr="00642EEB">
        <w:rPr>
          <w:rFonts w:asciiTheme="minorHAnsi" w:hAnsiTheme="minorHAnsi"/>
          <w:sz w:val="24"/>
          <w:szCs w:val="24"/>
        </w:rPr>
        <w:t xml:space="preserve">e </w:t>
      </w:r>
      <w:r w:rsidRPr="00642EEB">
        <w:rPr>
          <w:rFonts w:asciiTheme="minorHAnsi" w:hAnsiTheme="minorHAnsi"/>
          <w:sz w:val="24"/>
          <w:szCs w:val="24"/>
        </w:rPr>
        <w:t xml:space="preserve">peut </w:t>
      </w:r>
      <w:r w:rsidR="006E727C" w:rsidRPr="00642EEB">
        <w:rPr>
          <w:rFonts w:asciiTheme="minorHAnsi" w:hAnsiTheme="minorHAnsi"/>
          <w:sz w:val="24"/>
          <w:szCs w:val="24"/>
        </w:rPr>
        <w:t xml:space="preserve">pas </w:t>
      </w:r>
      <w:r w:rsidRPr="00642EEB">
        <w:rPr>
          <w:rFonts w:asciiTheme="minorHAnsi" w:hAnsiTheme="minorHAnsi"/>
          <w:sz w:val="24"/>
          <w:szCs w:val="24"/>
        </w:rPr>
        <w:t>se satisfair</w:t>
      </w:r>
      <w:r w:rsidR="006E727C" w:rsidRPr="00642EEB">
        <w:rPr>
          <w:rFonts w:asciiTheme="minorHAnsi" w:hAnsiTheme="minorHAnsi"/>
          <w:sz w:val="24"/>
          <w:szCs w:val="24"/>
        </w:rPr>
        <w:t>e des comptes et de ce que les LFSS successives ont apporté comme contre-réformes. Avec un ONDAM qui sera de nouveau historiquement bas, des dépenses de la branche fa</w:t>
      </w:r>
      <w:r w:rsidR="00232C23" w:rsidRPr="00642EEB">
        <w:rPr>
          <w:rFonts w:asciiTheme="minorHAnsi" w:hAnsiTheme="minorHAnsi"/>
          <w:sz w:val="24"/>
          <w:szCs w:val="24"/>
        </w:rPr>
        <w:t>m</w:t>
      </w:r>
      <w:r w:rsidR="006E727C" w:rsidRPr="00642EEB">
        <w:rPr>
          <w:rFonts w:asciiTheme="minorHAnsi" w:hAnsiTheme="minorHAnsi"/>
          <w:sz w:val="24"/>
          <w:szCs w:val="24"/>
        </w:rPr>
        <w:t>ille en baisse</w:t>
      </w:r>
      <w:r w:rsidR="00232C23" w:rsidRPr="00642EEB">
        <w:rPr>
          <w:rFonts w:asciiTheme="minorHAnsi" w:hAnsiTheme="minorHAnsi"/>
          <w:sz w:val="24"/>
          <w:szCs w:val="24"/>
        </w:rPr>
        <w:t>. Il en est de même pour la retraite et les AT</w:t>
      </w:r>
      <w:r w:rsidR="004D3B24">
        <w:rPr>
          <w:rFonts w:asciiTheme="minorHAnsi" w:hAnsiTheme="minorHAnsi"/>
          <w:sz w:val="24"/>
          <w:szCs w:val="24"/>
        </w:rPr>
        <w:t>/</w:t>
      </w:r>
      <w:r w:rsidR="00232C23" w:rsidRPr="00642EEB">
        <w:rPr>
          <w:rFonts w:asciiTheme="minorHAnsi" w:hAnsiTheme="minorHAnsi"/>
          <w:sz w:val="24"/>
          <w:szCs w:val="24"/>
        </w:rPr>
        <w:t>MP. A</w:t>
      </w:r>
      <w:r w:rsidR="006E727C" w:rsidRPr="00642EEB">
        <w:rPr>
          <w:rFonts w:asciiTheme="minorHAnsi" w:hAnsiTheme="minorHAnsi"/>
          <w:sz w:val="24"/>
          <w:szCs w:val="24"/>
        </w:rPr>
        <w:t>insi</w:t>
      </w:r>
      <w:r w:rsidR="00232C23" w:rsidRPr="00642EEB">
        <w:rPr>
          <w:rFonts w:asciiTheme="minorHAnsi" w:hAnsiTheme="minorHAnsi"/>
          <w:sz w:val="24"/>
          <w:szCs w:val="24"/>
        </w:rPr>
        <w:t>,</w:t>
      </w:r>
      <w:r w:rsidR="006E727C" w:rsidRPr="00642EEB">
        <w:rPr>
          <w:rFonts w:asciiTheme="minorHAnsi" w:hAnsiTheme="minorHAnsi"/>
          <w:sz w:val="24"/>
          <w:szCs w:val="24"/>
        </w:rPr>
        <w:t xml:space="preserve"> ce sont l’ensemble des </w:t>
      </w:r>
      <w:r w:rsidR="00232C23" w:rsidRPr="00642EEB">
        <w:rPr>
          <w:rFonts w:asciiTheme="minorHAnsi" w:hAnsiTheme="minorHAnsi"/>
          <w:sz w:val="24"/>
          <w:szCs w:val="24"/>
        </w:rPr>
        <w:t xml:space="preserve">assurés sociaux ainsi que les </w:t>
      </w:r>
      <w:r w:rsidR="006E727C" w:rsidRPr="00642EEB">
        <w:rPr>
          <w:rFonts w:asciiTheme="minorHAnsi" w:hAnsiTheme="minorHAnsi"/>
          <w:sz w:val="24"/>
          <w:szCs w:val="24"/>
        </w:rPr>
        <w:t>personnels qui paient l’amélioration de ces comptes : à la fois par la baisse ou la limitation des prestations, à la fois par la dégra</w:t>
      </w:r>
      <w:r w:rsidRPr="00642EEB">
        <w:rPr>
          <w:rFonts w:asciiTheme="minorHAnsi" w:hAnsiTheme="minorHAnsi"/>
          <w:sz w:val="24"/>
          <w:szCs w:val="24"/>
        </w:rPr>
        <w:t>dation de la qualité du service</w:t>
      </w:r>
      <w:r w:rsidR="006E727C" w:rsidRPr="00642EEB">
        <w:rPr>
          <w:rFonts w:asciiTheme="minorHAnsi" w:hAnsiTheme="minorHAnsi"/>
          <w:sz w:val="24"/>
          <w:szCs w:val="24"/>
        </w:rPr>
        <w:t xml:space="preserve"> </w:t>
      </w:r>
      <w:r w:rsidRPr="00642EEB">
        <w:rPr>
          <w:rFonts w:asciiTheme="minorHAnsi" w:hAnsiTheme="minorHAnsi"/>
          <w:sz w:val="24"/>
          <w:szCs w:val="24"/>
        </w:rPr>
        <w:t>par</w:t>
      </w:r>
      <w:r w:rsidR="00232C23" w:rsidRPr="00642EEB">
        <w:rPr>
          <w:rFonts w:asciiTheme="minorHAnsi" w:hAnsiTheme="minorHAnsi"/>
          <w:sz w:val="24"/>
          <w:szCs w:val="24"/>
        </w:rPr>
        <w:t xml:space="preserve"> une</w:t>
      </w:r>
      <w:r w:rsidR="006E727C" w:rsidRPr="00642EEB">
        <w:rPr>
          <w:rFonts w:asciiTheme="minorHAnsi" w:hAnsiTheme="minorHAnsi"/>
          <w:sz w:val="24"/>
          <w:szCs w:val="24"/>
        </w:rPr>
        <w:t xml:space="preserve"> </w:t>
      </w:r>
      <w:r w:rsidR="00232C23" w:rsidRPr="00642EEB">
        <w:rPr>
          <w:rFonts w:asciiTheme="minorHAnsi" w:hAnsiTheme="minorHAnsi"/>
          <w:sz w:val="24"/>
          <w:szCs w:val="24"/>
        </w:rPr>
        <w:t>pression constante</w:t>
      </w:r>
      <w:r w:rsidR="006E727C" w:rsidRPr="00642EEB">
        <w:rPr>
          <w:rFonts w:asciiTheme="minorHAnsi" w:hAnsiTheme="minorHAnsi"/>
          <w:sz w:val="24"/>
          <w:szCs w:val="24"/>
        </w:rPr>
        <w:t xml:space="preserve"> sur les personnels, </w:t>
      </w:r>
      <w:r w:rsidR="00232C23" w:rsidRPr="00642EEB">
        <w:rPr>
          <w:rFonts w:asciiTheme="minorHAnsi" w:hAnsiTheme="minorHAnsi"/>
          <w:sz w:val="24"/>
          <w:szCs w:val="24"/>
        </w:rPr>
        <w:t>une</w:t>
      </w:r>
      <w:r w:rsidR="006E727C" w:rsidRPr="00642EEB">
        <w:rPr>
          <w:rFonts w:asciiTheme="minorHAnsi" w:hAnsiTheme="minorHAnsi"/>
          <w:sz w:val="24"/>
          <w:szCs w:val="24"/>
        </w:rPr>
        <w:t xml:space="preserve"> rigueur </w:t>
      </w:r>
      <w:r w:rsidR="00232C23" w:rsidRPr="00642EEB">
        <w:rPr>
          <w:rFonts w:asciiTheme="minorHAnsi" w:hAnsiTheme="minorHAnsi"/>
          <w:sz w:val="24"/>
          <w:szCs w:val="24"/>
        </w:rPr>
        <w:t>budgétaire sur la</w:t>
      </w:r>
      <w:r w:rsidR="006E727C" w:rsidRPr="00642EEB">
        <w:rPr>
          <w:rFonts w:asciiTheme="minorHAnsi" w:hAnsiTheme="minorHAnsi"/>
          <w:sz w:val="24"/>
          <w:szCs w:val="24"/>
        </w:rPr>
        <w:t xml:space="preserve"> gestion, </w:t>
      </w:r>
      <w:r w:rsidR="00232C23" w:rsidRPr="00642EEB">
        <w:rPr>
          <w:rFonts w:asciiTheme="minorHAnsi" w:hAnsiTheme="minorHAnsi"/>
          <w:sz w:val="24"/>
          <w:szCs w:val="24"/>
        </w:rPr>
        <w:t xml:space="preserve">un </w:t>
      </w:r>
      <w:r w:rsidR="006E727C" w:rsidRPr="00642EEB">
        <w:rPr>
          <w:rFonts w:asciiTheme="minorHAnsi" w:hAnsiTheme="minorHAnsi"/>
          <w:sz w:val="24"/>
          <w:szCs w:val="24"/>
        </w:rPr>
        <w:t>empilement de « réformes »</w:t>
      </w:r>
      <w:r w:rsidRPr="00642EEB">
        <w:rPr>
          <w:rFonts w:asciiTheme="minorHAnsi" w:hAnsiTheme="minorHAnsi"/>
          <w:sz w:val="24"/>
          <w:szCs w:val="24"/>
        </w:rPr>
        <w:t xml:space="preserve"> de plus en plus rapide</w:t>
      </w:r>
      <w:r w:rsidR="00232C23" w:rsidRPr="00642EEB">
        <w:rPr>
          <w:rFonts w:asciiTheme="minorHAnsi" w:hAnsiTheme="minorHAnsi"/>
          <w:sz w:val="24"/>
          <w:szCs w:val="24"/>
        </w:rPr>
        <w:t xml:space="preserve"> à mettre en œuvre</w:t>
      </w:r>
      <w:r w:rsidR="006E727C" w:rsidRPr="00642EEB">
        <w:rPr>
          <w:rFonts w:asciiTheme="minorHAnsi" w:hAnsiTheme="minorHAnsi"/>
          <w:sz w:val="24"/>
          <w:szCs w:val="24"/>
        </w:rPr>
        <w:t>.</w:t>
      </w:r>
      <w:r w:rsidRPr="00642EEB">
        <w:rPr>
          <w:rFonts w:asciiTheme="minorHAnsi" w:hAnsiTheme="minorHAnsi"/>
          <w:sz w:val="24"/>
          <w:szCs w:val="24"/>
        </w:rPr>
        <w:t xml:space="preserve"> Les hôpitaux rencontrent également les mêmes problématiques.</w:t>
      </w:r>
    </w:p>
    <w:p w:rsidR="006E727C" w:rsidRPr="00642EEB" w:rsidRDefault="006E727C" w:rsidP="00642EEB">
      <w:pPr>
        <w:tabs>
          <w:tab w:val="clear" w:pos="357"/>
        </w:tabs>
        <w:spacing w:line="360" w:lineRule="auto"/>
        <w:ind w:firstLine="357"/>
        <w:rPr>
          <w:rFonts w:asciiTheme="minorHAnsi" w:hAnsiTheme="minorHAnsi"/>
          <w:sz w:val="24"/>
          <w:szCs w:val="24"/>
        </w:rPr>
      </w:pPr>
    </w:p>
    <w:p w:rsidR="006E727C" w:rsidRPr="00642EEB" w:rsidRDefault="006E727C" w:rsidP="00642EEB">
      <w:pPr>
        <w:tabs>
          <w:tab w:val="clear" w:pos="357"/>
        </w:tabs>
        <w:spacing w:line="360" w:lineRule="auto"/>
        <w:ind w:firstLine="357"/>
        <w:rPr>
          <w:rFonts w:asciiTheme="minorHAnsi" w:hAnsiTheme="minorHAnsi"/>
          <w:sz w:val="24"/>
          <w:szCs w:val="24"/>
        </w:rPr>
      </w:pPr>
      <w:r w:rsidRPr="00642EEB">
        <w:rPr>
          <w:rFonts w:asciiTheme="minorHAnsi" w:hAnsiTheme="minorHAnsi"/>
          <w:sz w:val="24"/>
          <w:szCs w:val="24"/>
        </w:rPr>
        <w:t xml:space="preserve">Nous espérons donc que la prochaine LFSS renversera ces tendances d’étatisation et de privatisation, mais </w:t>
      </w:r>
      <w:r w:rsidR="00642EEB" w:rsidRPr="00642EEB">
        <w:rPr>
          <w:rFonts w:asciiTheme="minorHAnsi" w:hAnsiTheme="minorHAnsi"/>
          <w:sz w:val="24"/>
          <w:szCs w:val="24"/>
        </w:rPr>
        <w:t>pouvons-nous y croire ?</w:t>
      </w:r>
      <w:r w:rsidRPr="00642EEB">
        <w:rPr>
          <w:rFonts w:asciiTheme="minorHAnsi" w:hAnsiTheme="minorHAnsi"/>
          <w:sz w:val="24"/>
          <w:szCs w:val="24"/>
        </w:rPr>
        <w:t xml:space="preserve"> </w:t>
      </w:r>
      <w:r w:rsidR="00642EEB" w:rsidRPr="00642EEB">
        <w:rPr>
          <w:rFonts w:asciiTheme="minorHAnsi" w:hAnsiTheme="minorHAnsi"/>
          <w:sz w:val="24"/>
          <w:szCs w:val="24"/>
        </w:rPr>
        <w:t>L</w:t>
      </w:r>
      <w:r w:rsidRPr="00642EEB">
        <w:rPr>
          <w:rFonts w:asciiTheme="minorHAnsi" w:hAnsiTheme="minorHAnsi"/>
          <w:sz w:val="24"/>
          <w:szCs w:val="24"/>
        </w:rPr>
        <w:t xml:space="preserve">e dialogue social et le paritarisme </w:t>
      </w:r>
      <w:r w:rsidR="00642EEB" w:rsidRPr="00642EEB">
        <w:rPr>
          <w:rFonts w:asciiTheme="minorHAnsi" w:hAnsiTheme="minorHAnsi"/>
          <w:sz w:val="24"/>
          <w:szCs w:val="24"/>
        </w:rPr>
        <w:t xml:space="preserve">n’étant visiblement pas une priorité </w:t>
      </w:r>
      <w:r w:rsidRPr="00642EEB">
        <w:rPr>
          <w:rFonts w:asciiTheme="minorHAnsi" w:hAnsiTheme="minorHAnsi"/>
          <w:sz w:val="24"/>
          <w:szCs w:val="24"/>
        </w:rPr>
        <w:t xml:space="preserve"> non plus </w:t>
      </w:r>
      <w:r w:rsidR="003337E1" w:rsidRPr="004D3B24">
        <w:rPr>
          <w:rFonts w:asciiTheme="minorHAnsi" w:hAnsiTheme="minorHAnsi"/>
          <w:sz w:val="24"/>
          <w:szCs w:val="24"/>
        </w:rPr>
        <w:t xml:space="preserve">dans ces lois relatives </w:t>
      </w:r>
      <w:r w:rsidRPr="00642EEB">
        <w:rPr>
          <w:rFonts w:asciiTheme="minorHAnsi" w:hAnsiTheme="minorHAnsi"/>
          <w:sz w:val="24"/>
          <w:szCs w:val="24"/>
        </w:rPr>
        <w:t>à la Sécurité sociale.</w:t>
      </w:r>
    </w:p>
    <w:p w:rsidR="00642EEB" w:rsidRPr="00642EEB" w:rsidRDefault="00642EEB" w:rsidP="00642EEB">
      <w:pPr>
        <w:tabs>
          <w:tab w:val="clear" w:pos="357"/>
        </w:tabs>
        <w:spacing w:line="360" w:lineRule="auto"/>
        <w:ind w:firstLine="357"/>
        <w:rPr>
          <w:rFonts w:asciiTheme="minorHAnsi" w:hAnsiTheme="minorHAnsi"/>
          <w:sz w:val="24"/>
          <w:szCs w:val="24"/>
        </w:rPr>
      </w:pPr>
      <w:bookmarkStart w:id="0" w:name="_GoBack"/>
      <w:bookmarkEnd w:id="0"/>
    </w:p>
    <w:p w:rsidR="00642EEB" w:rsidRPr="00642EEB" w:rsidRDefault="00642EEB" w:rsidP="00642EEB">
      <w:pPr>
        <w:tabs>
          <w:tab w:val="clear" w:pos="357"/>
        </w:tabs>
        <w:spacing w:line="360" w:lineRule="auto"/>
        <w:ind w:firstLine="357"/>
        <w:rPr>
          <w:rFonts w:asciiTheme="minorHAnsi" w:hAnsiTheme="minorHAnsi"/>
          <w:sz w:val="24"/>
          <w:szCs w:val="24"/>
        </w:rPr>
      </w:pPr>
      <w:r w:rsidRPr="00642EEB">
        <w:rPr>
          <w:rFonts w:asciiTheme="minorHAnsi" w:hAnsiTheme="minorHAnsi"/>
          <w:sz w:val="24"/>
          <w:szCs w:val="24"/>
        </w:rPr>
        <w:t>Je vous remercie.</w:t>
      </w:r>
    </w:p>
    <w:sectPr w:rsidR="00642EEB" w:rsidRPr="00642EEB" w:rsidSect="009000E4">
      <w:headerReference w:type="default" r:id="rId6"/>
      <w:footerReference w:type="even" r:id="rId7"/>
      <w:footerReference w:type="default" r:id="rId8"/>
      <w:pgSz w:w="11906" w:h="16838"/>
      <w:pgMar w:top="1417" w:right="1417"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14" w:rsidRDefault="00AA1A14" w:rsidP="003746C2">
      <w:r>
        <w:separator/>
      </w:r>
    </w:p>
  </w:endnote>
  <w:endnote w:type="continuationSeparator" w:id="0">
    <w:p w:rsidR="00AA1A14" w:rsidRDefault="00AA1A14" w:rsidP="0037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C2" w:rsidRDefault="003746C2" w:rsidP="003746C2">
    <w:pPr>
      <w:pStyle w:val="Pieddepag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6C2" w:rsidRDefault="004D3B24" w:rsidP="00461EA3">
    <w:pPr>
      <w:pStyle w:val="Pieddepage"/>
      <w:ind w:left="-567"/>
      <w:jc w:val="center"/>
    </w:pPr>
    <w:sdt>
      <w:sdtPr>
        <w:id w:val="-1056694523"/>
        <w:docPartObj>
          <w:docPartGallery w:val="Page Numbers (Bottom of Page)"/>
          <w:docPartUnique/>
        </w:docPartObj>
      </w:sdtPr>
      <w:sdtEndPr/>
      <w:sdtContent>
        <w:r w:rsidR="003746C2">
          <w:fldChar w:fldCharType="begin"/>
        </w:r>
        <w:r w:rsidR="003746C2">
          <w:instrText>PAGE   \* MERGEFORMAT</w:instrText>
        </w:r>
        <w:r w:rsidR="003746C2">
          <w:fldChar w:fldCharType="separate"/>
        </w:r>
        <w:r>
          <w:rPr>
            <w:noProof/>
          </w:rPr>
          <w:t>2</w:t>
        </w:r>
        <w:r w:rsidR="003746C2">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14" w:rsidRDefault="00AA1A14" w:rsidP="003746C2">
      <w:r>
        <w:separator/>
      </w:r>
    </w:p>
  </w:footnote>
  <w:footnote w:type="continuationSeparator" w:id="0">
    <w:p w:rsidR="00AA1A14" w:rsidRDefault="00AA1A14" w:rsidP="00374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55" w:rsidRDefault="00B53855" w:rsidP="00B53855">
    <w:pPr>
      <w:pStyle w:val="En-tte"/>
      <w:ind w:left="-567"/>
      <w:jc w:val="center"/>
      <w:rPr>
        <w:rFonts w:asciiTheme="majorHAnsi" w:hAnsiTheme="majorHAnsi"/>
        <w:b/>
        <w:sz w:val="24"/>
      </w:rPr>
    </w:pPr>
    <w:r>
      <w:rPr>
        <w:noProof/>
        <w:lang w:eastAsia="fr-FR"/>
      </w:rPr>
      <w:drawing>
        <wp:anchor distT="0" distB="0" distL="114300" distR="114300" simplePos="0" relativeHeight="251658240" behindDoc="1" locked="0" layoutInCell="1" allowOverlap="1" wp14:anchorId="79A12346" wp14:editId="35D32426">
          <wp:simplePos x="0" y="0"/>
          <wp:positionH relativeFrom="column">
            <wp:posOffset>5585460</wp:posOffset>
          </wp:positionH>
          <wp:positionV relativeFrom="paragraph">
            <wp:posOffset>-78740</wp:posOffset>
          </wp:positionV>
          <wp:extent cx="819785" cy="719455"/>
          <wp:effectExtent l="0" t="0" r="0" b="444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819785" cy="719455"/>
                  </a:xfrm>
                  <a:prstGeom prst="rect">
                    <a:avLst/>
                  </a:prstGeom>
                </pic:spPr>
              </pic:pic>
            </a:graphicData>
          </a:graphic>
          <wp14:sizeRelH relativeFrom="page">
            <wp14:pctWidth>0</wp14:pctWidth>
          </wp14:sizeRelH>
          <wp14:sizeRelV relativeFrom="page">
            <wp14:pctHeight>0</wp14:pctHeight>
          </wp14:sizeRelV>
        </wp:anchor>
      </w:drawing>
    </w:r>
  </w:p>
  <w:p w:rsidR="003746C2" w:rsidRPr="00B53855" w:rsidRDefault="00B53855" w:rsidP="00B53855">
    <w:pPr>
      <w:pStyle w:val="En-tte"/>
      <w:ind w:left="-567"/>
      <w:jc w:val="center"/>
      <w:rPr>
        <w:rFonts w:asciiTheme="majorHAnsi" w:hAnsiTheme="majorHAnsi"/>
        <w:b/>
        <w:sz w:val="24"/>
      </w:rPr>
    </w:pPr>
    <w:r w:rsidRPr="003A22B2">
      <w:rPr>
        <w:rFonts w:asciiTheme="majorHAnsi" w:hAnsiTheme="majorHAnsi"/>
        <w:b/>
        <w:color w:val="C00000"/>
        <w:sz w:val="24"/>
      </w:rPr>
      <w:t>C</w:t>
    </w:r>
    <w:r>
      <w:rPr>
        <w:rFonts w:asciiTheme="majorHAnsi" w:hAnsiTheme="majorHAnsi"/>
        <w:b/>
        <w:sz w:val="24"/>
      </w:rPr>
      <w:t xml:space="preserve">onfédération générale du travail – </w:t>
    </w:r>
    <w:r w:rsidRPr="00BE5ECA">
      <w:rPr>
        <w:rFonts w:asciiTheme="majorHAnsi" w:hAnsiTheme="majorHAnsi"/>
        <w:b/>
        <w:color w:val="C00000"/>
        <w:sz w:val="24"/>
      </w:rPr>
      <w:t>F</w:t>
    </w:r>
    <w:r w:rsidR="00BE5ECA">
      <w:rPr>
        <w:rFonts w:asciiTheme="majorHAnsi" w:hAnsiTheme="majorHAnsi"/>
        <w:b/>
        <w:sz w:val="24"/>
      </w:rPr>
      <w:t>orce</w:t>
    </w:r>
    <w:r>
      <w:rPr>
        <w:rFonts w:asciiTheme="majorHAnsi" w:hAnsiTheme="majorHAnsi"/>
        <w:b/>
        <w:sz w:val="24"/>
      </w:rPr>
      <w:t xml:space="preserve"> </w:t>
    </w:r>
    <w:r w:rsidRPr="00BE5ECA">
      <w:rPr>
        <w:rFonts w:asciiTheme="majorHAnsi" w:hAnsiTheme="majorHAnsi"/>
        <w:b/>
        <w:color w:val="C00000"/>
        <w:sz w:val="24"/>
      </w:rPr>
      <w:t>O</w:t>
    </w:r>
    <w:r w:rsidR="00BE5ECA">
      <w:rPr>
        <w:rFonts w:asciiTheme="majorHAnsi" w:hAnsiTheme="majorHAnsi"/>
        <w:b/>
        <w:sz w:val="24"/>
      </w:rPr>
      <w:t>uvrière</w:t>
    </w:r>
    <w:r w:rsidRPr="00B53855">
      <w:rPr>
        <w:noProof/>
        <w:lang w:eastAsia="fr-FR"/>
      </w:rPr>
      <w:t xml:space="preserve"> </w:t>
    </w:r>
  </w:p>
  <w:p w:rsidR="009D0FBB" w:rsidRDefault="009D0FBB" w:rsidP="00A81C63">
    <w:pPr>
      <w:pStyle w:val="En-tte"/>
      <w:ind w:left="-567"/>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3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9"/>
    <w:rsid w:val="00041773"/>
    <w:rsid w:val="00050B75"/>
    <w:rsid w:val="000F3B25"/>
    <w:rsid w:val="001651EF"/>
    <w:rsid w:val="00172F80"/>
    <w:rsid w:val="00206E73"/>
    <w:rsid w:val="00232C23"/>
    <w:rsid w:val="003337E1"/>
    <w:rsid w:val="003746C2"/>
    <w:rsid w:val="00384D85"/>
    <w:rsid w:val="003A22B2"/>
    <w:rsid w:val="003D526D"/>
    <w:rsid w:val="00461EA3"/>
    <w:rsid w:val="004D3B24"/>
    <w:rsid w:val="005B712C"/>
    <w:rsid w:val="00642EEB"/>
    <w:rsid w:val="006E727C"/>
    <w:rsid w:val="00826D59"/>
    <w:rsid w:val="00885100"/>
    <w:rsid w:val="00887667"/>
    <w:rsid w:val="008D2DAF"/>
    <w:rsid w:val="008F7202"/>
    <w:rsid w:val="009000E4"/>
    <w:rsid w:val="009D0FBB"/>
    <w:rsid w:val="00A27AD1"/>
    <w:rsid w:val="00A3020F"/>
    <w:rsid w:val="00A81C63"/>
    <w:rsid w:val="00AA1A14"/>
    <w:rsid w:val="00AF6B57"/>
    <w:rsid w:val="00B53855"/>
    <w:rsid w:val="00BB436C"/>
    <w:rsid w:val="00BE5ECA"/>
    <w:rsid w:val="00C262F2"/>
    <w:rsid w:val="00C3706F"/>
    <w:rsid w:val="00C3751A"/>
    <w:rsid w:val="00D651F9"/>
    <w:rsid w:val="00D71295"/>
    <w:rsid w:val="00DB7A31"/>
    <w:rsid w:val="00E1197F"/>
    <w:rsid w:val="00E50E8F"/>
    <w:rsid w:val="00FD3184"/>
    <w:rsid w:val="00FD5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B0D8727-D47C-481C-8E9F-E008FEA3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6F"/>
    <w:pPr>
      <w:tabs>
        <w:tab w:val="left" w:pos="357"/>
      </w:tabs>
      <w:spacing w:after="0" w:line="240" w:lineRule="auto"/>
      <w:contextualSpacing/>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rguecitation">
    <w:name w:val="Exergue citation"/>
    <w:basedOn w:val="Normal"/>
    <w:next w:val="Normal"/>
    <w:autoRedefine/>
    <w:qFormat/>
    <w:rsid w:val="00A27AD1"/>
    <w:pPr>
      <w:ind w:left="709" w:right="709"/>
    </w:pPr>
    <w:rPr>
      <w:i/>
    </w:rPr>
  </w:style>
  <w:style w:type="paragraph" w:styleId="En-tte">
    <w:name w:val="header"/>
    <w:basedOn w:val="Normal"/>
    <w:link w:val="En-tteCar"/>
    <w:uiPriority w:val="99"/>
    <w:unhideWhenUsed/>
    <w:rsid w:val="003746C2"/>
    <w:pPr>
      <w:tabs>
        <w:tab w:val="clear" w:pos="357"/>
        <w:tab w:val="center" w:pos="4536"/>
        <w:tab w:val="right" w:pos="9072"/>
      </w:tabs>
    </w:pPr>
  </w:style>
  <w:style w:type="character" w:customStyle="1" w:styleId="En-tteCar">
    <w:name w:val="En-tête Car"/>
    <w:basedOn w:val="Policepardfaut"/>
    <w:link w:val="En-tte"/>
    <w:uiPriority w:val="99"/>
    <w:rsid w:val="003746C2"/>
    <w:rPr>
      <w:rFonts w:ascii="Times New Roman" w:hAnsi="Times New Roman"/>
    </w:rPr>
  </w:style>
  <w:style w:type="paragraph" w:styleId="Pieddepage">
    <w:name w:val="footer"/>
    <w:basedOn w:val="Normal"/>
    <w:link w:val="PieddepageCar"/>
    <w:uiPriority w:val="99"/>
    <w:unhideWhenUsed/>
    <w:rsid w:val="003746C2"/>
    <w:pPr>
      <w:tabs>
        <w:tab w:val="clear" w:pos="357"/>
        <w:tab w:val="center" w:pos="4536"/>
        <w:tab w:val="right" w:pos="9072"/>
      </w:tabs>
    </w:pPr>
  </w:style>
  <w:style w:type="character" w:customStyle="1" w:styleId="PieddepageCar">
    <w:name w:val="Pied de page Car"/>
    <w:basedOn w:val="Policepardfaut"/>
    <w:link w:val="Pieddepage"/>
    <w:uiPriority w:val="99"/>
    <w:rsid w:val="003746C2"/>
    <w:rPr>
      <w:rFonts w:ascii="Times New Roman" w:hAnsi="Times New Roman"/>
    </w:rPr>
  </w:style>
  <w:style w:type="table" w:styleId="Grilledutableau">
    <w:name w:val="Table Grid"/>
    <w:basedOn w:val="TableauNormal"/>
    <w:uiPriority w:val="39"/>
    <w:rsid w:val="00DB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D0F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0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Commenge</dc:creator>
  <cp:keywords/>
  <dc:description/>
  <cp:lastModifiedBy>Fabienne BERTUIT</cp:lastModifiedBy>
  <cp:revision>18</cp:revision>
  <cp:lastPrinted>2016-06-07T07:20:00Z</cp:lastPrinted>
  <dcterms:created xsi:type="dcterms:W3CDTF">2015-10-29T16:49:00Z</dcterms:created>
  <dcterms:modified xsi:type="dcterms:W3CDTF">2016-07-28T12:56:00Z</dcterms:modified>
</cp:coreProperties>
</file>